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40" w:type="dxa"/>
        <w:tblInd w:w="93" w:type="dxa"/>
        <w:tblLook w:val="04A0" w:firstRow="1" w:lastRow="0" w:firstColumn="1" w:lastColumn="0" w:noHBand="0" w:noVBand="1"/>
      </w:tblPr>
      <w:tblGrid>
        <w:gridCol w:w="900"/>
        <w:gridCol w:w="6700"/>
        <w:gridCol w:w="6640"/>
      </w:tblGrid>
      <w:tr w:rsidR="00F947B5" w:rsidRPr="00F947B5" w:rsidTr="00F947B5">
        <w:trPr>
          <w:trHeight w:val="450"/>
        </w:trPr>
        <w:tc>
          <w:tcPr>
            <w:tcW w:w="7600" w:type="dxa"/>
            <w:gridSpan w:val="2"/>
            <w:tcBorders>
              <w:top w:val="nil"/>
              <w:left w:val="nil"/>
              <w:bottom w:val="nil"/>
              <w:right w:val="nil"/>
            </w:tcBorders>
            <w:shd w:val="clear" w:color="auto" w:fill="auto"/>
            <w:noWrap/>
            <w:vAlign w:val="center"/>
            <w:hideMark/>
          </w:tcPr>
          <w:p w:rsidR="00F947B5" w:rsidRPr="00F947B5" w:rsidRDefault="00F947B5" w:rsidP="00F947B5">
            <w:pPr>
              <w:widowControl/>
              <w:jc w:val="left"/>
              <w:rPr>
                <w:rFonts w:ascii="黑体" w:eastAsia="黑体" w:hAnsi="黑体" w:cs="宋体"/>
                <w:kern w:val="0"/>
                <w:sz w:val="32"/>
                <w:szCs w:val="32"/>
              </w:rPr>
            </w:pPr>
            <w:r w:rsidRPr="00F947B5">
              <w:rPr>
                <w:rFonts w:ascii="黑体" w:eastAsia="黑体" w:hAnsi="黑体" w:cs="宋体" w:hint="eastAsia"/>
                <w:kern w:val="0"/>
                <w:sz w:val="32"/>
                <w:szCs w:val="32"/>
              </w:rPr>
              <w:t>附件3</w:t>
            </w:r>
          </w:p>
        </w:tc>
        <w:tc>
          <w:tcPr>
            <w:tcW w:w="6640" w:type="dxa"/>
            <w:tcBorders>
              <w:top w:val="nil"/>
              <w:left w:val="nil"/>
              <w:bottom w:val="nil"/>
              <w:right w:val="nil"/>
            </w:tcBorders>
            <w:shd w:val="clear" w:color="auto" w:fill="auto"/>
            <w:noWrap/>
            <w:vAlign w:val="center"/>
            <w:hideMark/>
          </w:tcPr>
          <w:p w:rsidR="00F947B5" w:rsidRPr="00F947B5" w:rsidRDefault="00F947B5" w:rsidP="00F947B5">
            <w:pPr>
              <w:widowControl/>
              <w:jc w:val="left"/>
              <w:rPr>
                <w:rFonts w:ascii="宋体" w:eastAsia="宋体" w:hAnsi="宋体" w:cs="宋体"/>
                <w:kern w:val="0"/>
                <w:sz w:val="24"/>
                <w:szCs w:val="24"/>
              </w:rPr>
            </w:pPr>
          </w:p>
        </w:tc>
      </w:tr>
      <w:tr w:rsidR="00F947B5" w:rsidRPr="00F947B5" w:rsidTr="00F947B5">
        <w:trPr>
          <w:trHeight w:val="525"/>
        </w:trPr>
        <w:tc>
          <w:tcPr>
            <w:tcW w:w="14240" w:type="dxa"/>
            <w:gridSpan w:val="3"/>
            <w:tcBorders>
              <w:top w:val="nil"/>
              <w:left w:val="nil"/>
              <w:bottom w:val="nil"/>
              <w:right w:val="nil"/>
            </w:tcBorders>
            <w:shd w:val="clear" w:color="auto" w:fill="auto"/>
            <w:noWrap/>
            <w:vAlign w:val="center"/>
            <w:hideMark/>
          </w:tcPr>
          <w:p w:rsidR="00F947B5" w:rsidRPr="00F947B5" w:rsidRDefault="00F947B5" w:rsidP="00F947B5">
            <w:pPr>
              <w:widowControl/>
              <w:jc w:val="center"/>
              <w:rPr>
                <w:rFonts w:ascii="黑体" w:eastAsia="黑体" w:hAnsi="黑体" w:cs="宋体"/>
                <w:color w:val="000000"/>
                <w:kern w:val="0"/>
                <w:sz w:val="48"/>
                <w:szCs w:val="48"/>
              </w:rPr>
            </w:pPr>
            <w:r w:rsidRPr="00F947B5">
              <w:rPr>
                <w:rFonts w:ascii="黑体" w:eastAsia="黑体" w:hAnsi="黑体" w:cs="宋体" w:hint="eastAsia"/>
                <w:color w:val="000000"/>
                <w:kern w:val="0"/>
                <w:sz w:val="48"/>
                <w:szCs w:val="48"/>
              </w:rPr>
              <w:t>内蒙古国资委出资人监管责任清单</w:t>
            </w:r>
          </w:p>
        </w:tc>
      </w:tr>
      <w:tr w:rsidR="00F947B5" w:rsidRPr="00F947B5" w:rsidTr="00F947B5">
        <w:trPr>
          <w:trHeight w:val="67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b/>
                <w:bCs/>
                <w:color w:val="000000"/>
                <w:kern w:val="0"/>
                <w:sz w:val="24"/>
                <w:szCs w:val="24"/>
              </w:rPr>
            </w:pPr>
            <w:r w:rsidRPr="00F947B5">
              <w:rPr>
                <w:rFonts w:ascii="仿宋" w:eastAsia="仿宋" w:hAnsi="仿宋" w:cs="宋体" w:hint="eastAsia"/>
                <w:b/>
                <w:bCs/>
                <w:color w:val="000000"/>
                <w:kern w:val="0"/>
                <w:sz w:val="24"/>
                <w:szCs w:val="24"/>
              </w:rPr>
              <w:t>序号</w:t>
            </w:r>
          </w:p>
        </w:tc>
        <w:tc>
          <w:tcPr>
            <w:tcW w:w="6700" w:type="dxa"/>
            <w:tcBorders>
              <w:top w:val="single" w:sz="4" w:space="0" w:color="auto"/>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b/>
                <w:bCs/>
                <w:color w:val="000000"/>
                <w:kern w:val="0"/>
                <w:sz w:val="24"/>
                <w:szCs w:val="24"/>
              </w:rPr>
            </w:pPr>
            <w:proofErr w:type="gramStart"/>
            <w:r w:rsidRPr="00F947B5">
              <w:rPr>
                <w:rFonts w:ascii="仿宋" w:eastAsia="仿宋" w:hAnsi="仿宋" w:cs="宋体" w:hint="eastAsia"/>
                <w:b/>
                <w:bCs/>
                <w:color w:val="000000"/>
                <w:kern w:val="0"/>
                <w:sz w:val="24"/>
                <w:szCs w:val="24"/>
              </w:rPr>
              <w:t>责</w:t>
            </w:r>
            <w:proofErr w:type="gramEnd"/>
            <w:r w:rsidRPr="00F947B5">
              <w:rPr>
                <w:rFonts w:ascii="仿宋" w:eastAsia="仿宋" w:hAnsi="仿宋" w:cs="宋体" w:hint="eastAsia"/>
                <w:b/>
                <w:bCs/>
                <w:color w:val="000000"/>
                <w:kern w:val="0"/>
                <w:sz w:val="24"/>
                <w:szCs w:val="24"/>
              </w:rPr>
              <w:t xml:space="preserve">  任  事  项</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b/>
                <w:bCs/>
                <w:color w:val="000000"/>
                <w:kern w:val="0"/>
                <w:sz w:val="24"/>
                <w:szCs w:val="24"/>
              </w:rPr>
            </w:pPr>
            <w:r w:rsidRPr="00F947B5">
              <w:rPr>
                <w:rFonts w:ascii="仿宋" w:eastAsia="仿宋" w:hAnsi="仿宋" w:cs="宋体" w:hint="eastAsia"/>
                <w:b/>
                <w:bCs/>
                <w:color w:val="000000"/>
                <w:kern w:val="0"/>
                <w:sz w:val="24"/>
                <w:szCs w:val="24"/>
              </w:rPr>
              <w:t>责 任 依 据</w:t>
            </w:r>
          </w:p>
        </w:tc>
      </w:tr>
      <w:tr w:rsidR="00F947B5" w:rsidRPr="00F947B5" w:rsidTr="00F947B5">
        <w:trPr>
          <w:trHeight w:val="117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1</w:t>
            </w:r>
          </w:p>
        </w:tc>
        <w:tc>
          <w:tcPr>
            <w:tcW w:w="670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根据自治区人民政府授权，依照法律法规，履行出资人职责，维护所有者权益</w:t>
            </w:r>
          </w:p>
        </w:tc>
        <w:tc>
          <w:tcPr>
            <w:tcW w:w="664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《企业国有资产监督管理暂行条例》第十三条；《内蒙古自治区企业国有资产监督管理条例》第九条</w:t>
            </w:r>
          </w:p>
        </w:tc>
      </w:tr>
      <w:tr w:rsidR="00F947B5" w:rsidRPr="00F947B5" w:rsidTr="00F947B5">
        <w:trPr>
          <w:trHeight w:val="1838"/>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2</w:t>
            </w:r>
          </w:p>
        </w:tc>
        <w:tc>
          <w:tcPr>
            <w:tcW w:w="670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以管资本为主加强国有资产监督管理，优化资本布局、规范资本运作、提高资本回报、维护资本安全，推进国有资产合理流动，指导国有独资企业、国有独资公司、国有资本控股公司的改革和重组，调整优化国有经济布局和结构</w:t>
            </w:r>
          </w:p>
        </w:tc>
        <w:tc>
          <w:tcPr>
            <w:tcW w:w="664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《企业国有资产监督管理暂行条例》第十三条；《内蒙古自治区企业国有资产监督管理条例》第十条</w:t>
            </w:r>
          </w:p>
        </w:tc>
      </w:tr>
      <w:tr w:rsidR="00F947B5" w:rsidRPr="00F947B5" w:rsidTr="00F947B5">
        <w:trPr>
          <w:trHeight w:val="111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3</w:t>
            </w:r>
          </w:p>
        </w:tc>
        <w:tc>
          <w:tcPr>
            <w:tcW w:w="670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尊重、维护所出资企业经营自主权，依法维护企业合法权益，促进企业依法经营管理，增强企业竞争力</w:t>
            </w:r>
          </w:p>
        </w:tc>
        <w:tc>
          <w:tcPr>
            <w:tcW w:w="664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《企业国有资产监督管理暂行条例》第十四条；《内蒙古自治区企业国有资产监督管理条例》第十八条</w:t>
            </w:r>
          </w:p>
        </w:tc>
      </w:tr>
      <w:tr w:rsidR="00F947B5" w:rsidRPr="00F947B5" w:rsidTr="00F947B5">
        <w:trPr>
          <w:trHeight w:val="129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4</w:t>
            </w:r>
          </w:p>
        </w:tc>
        <w:tc>
          <w:tcPr>
            <w:tcW w:w="670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加强所出资企业国有资产监督管理工作，通过统计、稽核等方式对企业国有资产的保值增值情况进行监管</w:t>
            </w:r>
          </w:p>
        </w:tc>
        <w:tc>
          <w:tcPr>
            <w:tcW w:w="664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《企业国有资产监督管理暂行条例》第十三、十四条</w:t>
            </w:r>
          </w:p>
        </w:tc>
      </w:tr>
      <w:tr w:rsidR="00F947B5" w:rsidRPr="00F947B5" w:rsidTr="00F947B5">
        <w:trPr>
          <w:trHeight w:val="102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lastRenderedPageBreak/>
              <w:t>5</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指导和推进所出资国有及国有控股企业建立现代企业制度，完善公司法人治理结构，推进管理现代化</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《企业国有资产监督管理暂行条例》第十四条</w:t>
            </w:r>
          </w:p>
        </w:tc>
      </w:tr>
      <w:tr w:rsidR="00F947B5" w:rsidRPr="00F947B5" w:rsidTr="00F947B5">
        <w:trPr>
          <w:trHeight w:val="165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6</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建立健全企业国有资产监督管理制度，对制度实施情况进行监督和评价；起草自治区国有资产监督管理地方性法规规章草案</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《关于加强和改进企业国有资产监督防止国有资产流失的意见 》（国办发〔2015〕79号）；关于印发《内蒙古自治区人民政府国有资产监督管理委员会职能配置、内设机构和人员编制规定》的通知（厅发〔2018〕24号）</w:t>
            </w:r>
          </w:p>
        </w:tc>
      </w:tr>
      <w:tr w:rsidR="00F947B5" w:rsidRPr="00F947B5" w:rsidTr="00F947B5">
        <w:trPr>
          <w:trHeight w:val="18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7</w:t>
            </w:r>
          </w:p>
        </w:tc>
        <w:tc>
          <w:tcPr>
            <w:tcW w:w="6700" w:type="dxa"/>
            <w:tcBorders>
              <w:top w:val="single" w:sz="4" w:space="0" w:color="auto"/>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依照管理权限和法定程序，任免或建议任免国家出资企业管理者，并对拟任人选按照规定的条件和程序进行考察；对其任命的企业管理者进行年度和任期考核，并依据考核结果决定企业管理者的薪酬和奖惩</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企业国有资产法》第二十二、二十四、二十七条；《内蒙古党委关于成立中共内蒙古自治区国有资产监督管理委员会委员会有关问题的通知》（内党发〔2003〕17号）；《内蒙古自治区企业国有资产监督管理条例》第十三、十五条</w:t>
            </w:r>
          </w:p>
        </w:tc>
      </w:tr>
      <w:tr w:rsidR="00F947B5" w:rsidRPr="00F947B5" w:rsidTr="00F947B5">
        <w:trPr>
          <w:trHeight w:val="184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8</w:t>
            </w:r>
          </w:p>
        </w:tc>
        <w:tc>
          <w:tcPr>
            <w:tcW w:w="670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加强出资人监督，健全国家出资企业规划投资、改制重组、产权管理、财务评价、业绩考核、选人用人、薪酬分配等规范国有资本运作、防止国有资产流失的制度</w:t>
            </w:r>
          </w:p>
        </w:tc>
        <w:tc>
          <w:tcPr>
            <w:tcW w:w="664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《企业国有资产监督管理暂行条例》第十三条；《关于加强和改进企业国有资产监督防止国有资产流失的意见 》（国办发〔2015〕79号）；《内蒙古自治区企业国有资产监督管理条例》第四十三条</w:t>
            </w:r>
          </w:p>
        </w:tc>
      </w:tr>
      <w:tr w:rsidR="00F947B5" w:rsidRPr="00F947B5" w:rsidTr="00F947B5">
        <w:trPr>
          <w:trHeight w:val="156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9</w:t>
            </w:r>
          </w:p>
        </w:tc>
        <w:tc>
          <w:tcPr>
            <w:tcW w:w="670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依照有关规定加强所出资监管企业国有资产交易监督管理，规范企业国有资产交易行为</w:t>
            </w:r>
          </w:p>
        </w:tc>
        <w:tc>
          <w:tcPr>
            <w:tcW w:w="664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《企业国有资产交易监督管理办法》（国务院国资委、财政部令第32号）第六条；《内蒙古自治区企业国有资产监督管理条例》第四十五条</w:t>
            </w:r>
          </w:p>
        </w:tc>
      </w:tr>
      <w:tr w:rsidR="00F947B5" w:rsidRPr="00F947B5" w:rsidTr="00F947B5">
        <w:trPr>
          <w:trHeight w:val="212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lastRenderedPageBreak/>
              <w:t>10</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健全和完善国有企业违规经营投资责任追究制度，对因违反法律、法规、企业章程和企业内部控制制度，以及未履行或未正确履行职责造成企业国有资产损失和其他严重不良后果的国有企业经营管理有关人员进行责任追究，并监督和指导国家出资企业开展内部违规经营投资责任追究工作</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关于建立国有企业违规经营投资责任追究制度的意见》（国办发〔2016〕63号）；《内蒙古自治区企业国有资产监督管理条例》第四十四条；《内蒙古自治区直属企业违规经营投资责任追究办法》（内政办发〔2017〕46号）</w:t>
            </w:r>
          </w:p>
        </w:tc>
      </w:tr>
      <w:tr w:rsidR="00F947B5" w:rsidRPr="00F947B5" w:rsidTr="00F947B5">
        <w:trPr>
          <w:trHeight w:val="196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11</w:t>
            </w:r>
          </w:p>
        </w:tc>
        <w:tc>
          <w:tcPr>
            <w:tcW w:w="6700" w:type="dxa"/>
            <w:tcBorders>
              <w:top w:val="single" w:sz="4" w:space="0" w:color="auto"/>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研究提出自治区国有企业收入分配制度改革办法措施，调控企业工资分配总体水平，承担所出资企业负责人薪酬、企业工资总额预算和企业年金实施方案管理工作</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企业国有资产监督管理暂行条例》第二十六条；《国务院关于改革国有企业工资决定机制的意见》（国发〔2018〕16号）；《内蒙古自治区企业国有资产监督管理条例》第十四条；《关于中央企业规范实施企业年金的意见》（</w:t>
            </w:r>
            <w:proofErr w:type="gramStart"/>
            <w:r w:rsidRPr="00F947B5">
              <w:rPr>
                <w:rFonts w:ascii="仿宋" w:eastAsia="仿宋" w:hAnsi="仿宋" w:cs="宋体" w:hint="eastAsia"/>
                <w:color w:val="000000"/>
                <w:kern w:val="0"/>
                <w:sz w:val="24"/>
                <w:szCs w:val="24"/>
              </w:rPr>
              <w:t>国资发考分</w:t>
            </w:r>
            <w:proofErr w:type="gramEnd"/>
            <w:r w:rsidRPr="00F947B5">
              <w:rPr>
                <w:rFonts w:ascii="仿宋" w:eastAsia="仿宋" w:hAnsi="仿宋" w:cs="宋体" w:hint="eastAsia"/>
                <w:color w:val="000000"/>
                <w:kern w:val="0"/>
                <w:sz w:val="24"/>
                <w:szCs w:val="24"/>
              </w:rPr>
              <w:t>〔2018〕76号）</w:t>
            </w:r>
          </w:p>
        </w:tc>
      </w:tr>
      <w:tr w:rsidR="00F947B5" w:rsidRPr="00F947B5" w:rsidTr="00F947B5">
        <w:trPr>
          <w:trHeight w:val="1413"/>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12</w:t>
            </w:r>
          </w:p>
        </w:tc>
        <w:tc>
          <w:tcPr>
            <w:tcW w:w="670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建立健全国家出资企业境外国有资产监督管理制度，强化对企业境外投资、运营和产权状况的监督，规范企业境外大额度资金使用、集中采购和佣金管理，强化风险防范和责任追究</w:t>
            </w:r>
          </w:p>
        </w:tc>
        <w:tc>
          <w:tcPr>
            <w:tcW w:w="664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《关于加强和改进企业国有资产监督防止国有资产流失的意见 》（国办发〔2015〕79号）</w:t>
            </w:r>
          </w:p>
        </w:tc>
      </w:tr>
      <w:tr w:rsidR="00F947B5" w:rsidRPr="00F947B5" w:rsidTr="00F947B5">
        <w:trPr>
          <w:trHeight w:val="126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13</w:t>
            </w:r>
          </w:p>
        </w:tc>
        <w:tc>
          <w:tcPr>
            <w:tcW w:w="670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指导督促自治区直属企业、驻呼中央企业普法依法治理工作</w:t>
            </w:r>
          </w:p>
        </w:tc>
        <w:tc>
          <w:tcPr>
            <w:tcW w:w="664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《自治区党委办公厅、政府办公厅关于印发内蒙古自治区依法治区领导小组各成员单位职责的通知》（厅发〔2011〕62号）</w:t>
            </w:r>
          </w:p>
        </w:tc>
      </w:tr>
      <w:tr w:rsidR="00F947B5" w:rsidRPr="00F947B5" w:rsidTr="00F947B5">
        <w:trPr>
          <w:trHeight w:val="11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14</w:t>
            </w:r>
          </w:p>
        </w:tc>
        <w:tc>
          <w:tcPr>
            <w:tcW w:w="670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定期向自治区人民政府报告有关国有资产总量、结构、变动、收益等汇总分析的情况</w:t>
            </w:r>
          </w:p>
        </w:tc>
        <w:tc>
          <w:tcPr>
            <w:tcW w:w="664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《企业国有资产法》第十五条</w:t>
            </w:r>
          </w:p>
        </w:tc>
      </w:tr>
      <w:tr w:rsidR="00F947B5" w:rsidRPr="00F947B5" w:rsidTr="00F947B5">
        <w:trPr>
          <w:trHeight w:val="145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bookmarkStart w:id="0" w:name="_GoBack"/>
            <w:r w:rsidRPr="00F947B5">
              <w:rPr>
                <w:rFonts w:ascii="仿宋" w:eastAsia="仿宋" w:hAnsi="仿宋" w:cs="宋体" w:hint="eastAsia"/>
                <w:color w:val="000000"/>
                <w:kern w:val="0"/>
                <w:sz w:val="24"/>
                <w:szCs w:val="24"/>
              </w:rPr>
              <w:lastRenderedPageBreak/>
              <w:t>15</w:t>
            </w:r>
          </w:p>
        </w:tc>
        <w:tc>
          <w:tcPr>
            <w:tcW w:w="6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依法对盟市国有资产监督管理工作进行指导和监督</w:t>
            </w:r>
          </w:p>
        </w:tc>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《企业国有资产监督管理暂行条例》第十二条；关于印发《内蒙古自治区人民政府国有资产监督管理委员会职能配置、内设机构和人员编制规定》的通知（厅发〔2018〕24号）</w:t>
            </w:r>
          </w:p>
        </w:tc>
      </w:tr>
      <w:bookmarkEnd w:id="0"/>
      <w:tr w:rsidR="00F947B5" w:rsidRPr="00F947B5" w:rsidTr="00F947B5">
        <w:trPr>
          <w:trHeight w:val="118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16</w:t>
            </w:r>
          </w:p>
        </w:tc>
        <w:tc>
          <w:tcPr>
            <w:tcW w:w="6700" w:type="dxa"/>
            <w:tcBorders>
              <w:top w:val="single" w:sz="4" w:space="0" w:color="auto"/>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负责企业领导人员因公和因私出国（境）及赴港澳政治审查</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《关于进一步加强全区各级领导干部出国（境）审批管理工作的通知》（内组通字〔2012〕30号）</w:t>
            </w:r>
          </w:p>
        </w:tc>
      </w:tr>
      <w:tr w:rsidR="00F947B5" w:rsidRPr="00F947B5" w:rsidTr="00F947B5">
        <w:trPr>
          <w:trHeight w:val="153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17</w:t>
            </w:r>
          </w:p>
        </w:tc>
        <w:tc>
          <w:tcPr>
            <w:tcW w:w="670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负责工程类专业技术职称评审及“草原英才”工程（企业经营管理类）评审</w:t>
            </w:r>
          </w:p>
        </w:tc>
        <w:tc>
          <w:tcPr>
            <w:tcW w:w="664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《关于印发2018年全区职称工作安排意见的通知》（内人社发[2018]24号）、《关于开展第九批“草原英才”工程申报工作的通知》（内组通字〔2018〕29号）</w:t>
            </w:r>
          </w:p>
        </w:tc>
      </w:tr>
      <w:tr w:rsidR="00F947B5" w:rsidRPr="00F947B5" w:rsidTr="00F947B5">
        <w:trPr>
          <w:trHeight w:val="192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947B5" w:rsidRPr="00F947B5" w:rsidRDefault="00F947B5" w:rsidP="00F947B5">
            <w:pPr>
              <w:widowControl/>
              <w:jc w:val="center"/>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18</w:t>
            </w:r>
          </w:p>
        </w:tc>
        <w:tc>
          <w:tcPr>
            <w:tcW w:w="670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负责组织所出资企业上交国有资本收益</w:t>
            </w:r>
          </w:p>
        </w:tc>
        <w:tc>
          <w:tcPr>
            <w:tcW w:w="6640" w:type="dxa"/>
            <w:tcBorders>
              <w:top w:val="nil"/>
              <w:left w:val="nil"/>
              <w:bottom w:val="single" w:sz="4" w:space="0" w:color="auto"/>
              <w:right w:val="single" w:sz="4" w:space="0" w:color="auto"/>
            </w:tcBorders>
            <w:shd w:val="clear" w:color="auto" w:fill="auto"/>
            <w:vAlign w:val="center"/>
            <w:hideMark/>
          </w:tcPr>
          <w:p w:rsidR="00F947B5" w:rsidRPr="00F947B5" w:rsidRDefault="00F947B5" w:rsidP="00F947B5">
            <w:pPr>
              <w:widowControl/>
              <w:jc w:val="left"/>
              <w:rPr>
                <w:rFonts w:ascii="仿宋" w:eastAsia="仿宋" w:hAnsi="仿宋" w:cs="宋体"/>
                <w:color w:val="000000"/>
                <w:kern w:val="0"/>
                <w:sz w:val="24"/>
                <w:szCs w:val="24"/>
              </w:rPr>
            </w:pPr>
            <w:r w:rsidRPr="00F947B5">
              <w:rPr>
                <w:rFonts w:ascii="仿宋" w:eastAsia="仿宋" w:hAnsi="仿宋" w:cs="宋体" w:hint="eastAsia"/>
                <w:color w:val="000000"/>
                <w:kern w:val="0"/>
                <w:sz w:val="24"/>
                <w:szCs w:val="24"/>
              </w:rPr>
              <w:t>《内蒙古自治区人民政府关于试行国有资本经营预算的实施意见》（内政发〔2008〕96号）；关于印发《内蒙古自治区人民政府国有资产监督管理委员会职能配置、内设机构和人员编制规定》的通知（厅发〔2018〕24号）</w:t>
            </w:r>
          </w:p>
        </w:tc>
      </w:tr>
    </w:tbl>
    <w:p w:rsidR="0033078C" w:rsidRPr="00F947B5" w:rsidRDefault="0033078C">
      <w:pPr>
        <w:rPr>
          <w:rFonts w:ascii="仿宋" w:eastAsia="仿宋" w:hAnsi="仿宋"/>
          <w:sz w:val="24"/>
          <w:szCs w:val="24"/>
        </w:rPr>
      </w:pPr>
    </w:p>
    <w:sectPr w:rsidR="0033078C" w:rsidRPr="00F947B5" w:rsidSect="00F947B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B5"/>
    <w:rsid w:val="0033078C"/>
    <w:rsid w:val="00F9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何迎春</dc:creator>
  <cp:lastModifiedBy>何迎春</cp:lastModifiedBy>
  <cp:revision>1</cp:revision>
  <dcterms:created xsi:type="dcterms:W3CDTF">2019-03-21T02:19:00Z</dcterms:created>
  <dcterms:modified xsi:type="dcterms:W3CDTF">2019-03-21T02:21:00Z</dcterms:modified>
</cp:coreProperties>
</file>