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60" w:type="dxa"/>
        <w:tblInd w:w="-341" w:type="dxa"/>
        <w:tblLook w:val="04A0" w:firstRow="1" w:lastRow="0" w:firstColumn="1" w:lastColumn="0" w:noHBand="0" w:noVBand="1"/>
      </w:tblPr>
      <w:tblGrid>
        <w:gridCol w:w="740"/>
        <w:gridCol w:w="1300"/>
        <w:gridCol w:w="2380"/>
        <w:gridCol w:w="1300"/>
        <w:gridCol w:w="6660"/>
        <w:gridCol w:w="2280"/>
      </w:tblGrid>
      <w:tr w:rsidR="00BE3A9F" w:rsidRPr="00BE3A9F" w:rsidTr="00BE3A9F">
        <w:trPr>
          <w:trHeight w:val="360"/>
        </w:trPr>
        <w:tc>
          <w:tcPr>
            <w:tcW w:w="2040" w:type="dxa"/>
            <w:gridSpan w:val="2"/>
            <w:tcBorders>
              <w:top w:val="nil"/>
              <w:left w:val="nil"/>
              <w:bottom w:val="nil"/>
              <w:right w:val="nil"/>
            </w:tcBorders>
            <w:shd w:val="clear" w:color="auto" w:fill="auto"/>
            <w:noWrap/>
            <w:vAlign w:val="center"/>
            <w:hideMark/>
          </w:tcPr>
          <w:p w:rsidR="00BE3A9F" w:rsidRPr="00BE3A9F" w:rsidRDefault="00BE3A9F" w:rsidP="00BE3A9F">
            <w:pPr>
              <w:widowControl/>
              <w:jc w:val="left"/>
              <w:rPr>
                <w:rFonts w:ascii="黑体" w:eastAsia="黑体" w:hAnsi="黑体" w:cs="宋体"/>
                <w:kern w:val="0"/>
                <w:sz w:val="32"/>
                <w:szCs w:val="32"/>
              </w:rPr>
            </w:pPr>
            <w:r w:rsidRPr="00BE3A9F">
              <w:rPr>
                <w:rFonts w:ascii="黑体" w:eastAsia="黑体" w:hAnsi="黑体" w:cs="宋体" w:hint="eastAsia"/>
                <w:kern w:val="0"/>
                <w:sz w:val="32"/>
                <w:szCs w:val="32"/>
              </w:rPr>
              <w:t>附件1</w:t>
            </w:r>
          </w:p>
        </w:tc>
        <w:tc>
          <w:tcPr>
            <w:tcW w:w="2380" w:type="dxa"/>
            <w:tcBorders>
              <w:top w:val="nil"/>
              <w:left w:val="nil"/>
              <w:bottom w:val="nil"/>
              <w:right w:val="nil"/>
            </w:tcBorders>
            <w:shd w:val="clear" w:color="auto" w:fill="auto"/>
            <w:vAlign w:val="center"/>
            <w:hideMark/>
          </w:tcPr>
          <w:p w:rsidR="00BE3A9F" w:rsidRPr="00BE3A9F" w:rsidRDefault="00BE3A9F" w:rsidP="00BE3A9F">
            <w:pPr>
              <w:widowControl/>
              <w:jc w:val="left"/>
              <w:rPr>
                <w:rFonts w:ascii="宋体" w:eastAsia="宋体" w:hAnsi="宋体" w:cs="宋体"/>
                <w:kern w:val="0"/>
                <w:sz w:val="24"/>
                <w:szCs w:val="24"/>
              </w:rPr>
            </w:pPr>
          </w:p>
        </w:tc>
        <w:tc>
          <w:tcPr>
            <w:tcW w:w="1300" w:type="dxa"/>
            <w:tcBorders>
              <w:top w:val="nil"/>
              <w:left w:val="nil"/>
              <w:bottom w:val="nil"/>
              <w:right w:val="nil"/>
            </w:tcBorders>
            <w:shd w:val="clear" w:color="auto" w:fill="auto"/>
            <w:vAlign w:val="center"/>
            <w:hideMark/>
          </w:tcPr>
          <w:p w:rsidR="00BE3A9F" w:rsidRPr="00BE3A9F" w:rsidRDefault="00BE3A9F" w:rsidP="00BE3A9F">
            <w:pPr>
              <w:widowControl/>
              <w:jc w:val="left"/>
              <w:rPr>
                <w:rFonts w:ascii="宋体" w:eastAsia="宋体" w:hAnsi="宋体" w:cs="宋体"/>
                <w:kern w:val="0"/>
                <w:sz w:val="24"/>
                <w:szCs w:val="24"/>
              </w:rPr>
            </w:pPr>
          </w:p>
        </w:tc>
        <w:tc>
          <w:tcPr>
            <w:tcW w:w="6660" w:type="dxa"/>
            <w:tcBorders>
              <w:top w:val="nil"/>
              <w:left w:val="nil"/>
              <w:bottom w:val="nil"/>
              <w:right w:val="nil"/>
            </w:tcBorders>
            <w:shd w:val="clear" w:color="auto" w:fill="auto"/>
            <w:vAlign w:val="center"/>
            <w:hideMark/>
          </w:tcPr>
          <w:p w:rsidR="00BE3A9F" w:rsidRPr="00BE3A9F" w:rsidRDefault="00BE3A9F" w:rsidP="00BE3A9F">
            <w:pPr>
              <w:widowControl/>
              <w:jc w:val="left"/>
              <w:rPr>
                <w:rFonts w:ascii="宋体" w:eastAsia="宋体" w:hAnsi="宋体" w:cs="宋体"/>
                <w:kern w:val="0"/>
                <w:sz w:val="24"/>
                <w:szCs w:val="24"/>
              </w:rPr>
            </w:pPr>
          </w:p>
        </w:tc>
        <w:tc>
          <w:tcPr>
            <w:tcW w:w="2280" w:type="dxa"/>
            <w:tcBorders>
              <w:top w:val="nil"/>
              <w:left w:val="nil"/>
              <w:bottom w:val="nil"/>
              <w:right w:val="nil"/>
            </w:tcBorders>
            <w:shd w:val="clear" w:color="auto" w:fill="auto"/>
            <w:vAlign w:val="center"/>
            <w:hideMark/>
          </w:tcPr>
          <w:p w:rsidR="00BE3A9F" w:rsidRPr="00BE3A9F" w:rsidRDefault="00BE3A9F" w:rsidP="00BE3A9F">
            <w:pPr>
              <w:widowControl/>
              <w:jc w:val="left"/>
              <w:rPr>
                <w:rFonts w:ascii="宋体" w:eastAsia="宋体" w:hAnsi="宋体" w:cs="宋体"/>
                <w:kern w:val="0"/>
                <w:sz w:val="24"/>
                <w:szCs w:val="24"/>
              </w:rPr>
            </w:pPr>
          </w:p>
        </w:tc>
      </w:tr>
      <w:tr w:rsidR="00BE3A9F" w:rsidRPr="00BE3A9F" w:rsidTr="00BE3A9F">
        <w:trPr>
          <w:trHeight w:val="675"/>
        </w:trPr>
        <w:tc>
          <w:tcPr>
            <w:tcW w:w="14660" w:type="dxa"/>
            <w:gridSpan w:val="6"/>
            <w:tcBorders>
              <w:top w:val="nil"/>
              <w:left w:val="nil"/>
              <w:bottom w:val="single" w:sz="4" w:space="0" w:color="auto"/>
              <w:right w:val="nil"/>
            </w:tcBorders>
            <w:shd w:val="clear" w:color="auto" w:fill="auto"/>
            <w:noWrap/>
            <w:vAlign w:val="center"/>
            <w:hideMark/>
          </w:tcPr>
          <w:p w:rsidR="00BE3A9F" w:rsidRPr="00BE3A9F" w:rsidRDefault="00BE3A9F" w:rsidP="00BE3A9F">
            <w:pPr>
              <w:widowControl/>
              <w:jc w:val="center"/>
              <w:rPr>
                <w:rFonts w:ascii="黑体" w:eastAsia="黑体" w:hAnsi="黑体" w:cs="宋体"/>
                <w:kern w:val="0"/>
                <w:sz w:val="32"/>
                <w:szCs w:val="32"/>
              </w:rPr>
            </w:pPr>
            <w:r w:rsidRPr="00BE3A9F">
              <w:rPr>
                <w:rFonts w:ascii="黑体" w:eastAsia="黑体" w:hAnsi="黑体" w:cs="宋体" w:hint="eastAsia"/>
                <w:kern w:val="0"/>
                <w:sz w:val="32"/>
                <w:szCs w:val="32"/>
              </w:rPr>
              <w:t>内蒙古国资委出资人审批事项清单</w:t>
            </w:r>
          </w:p>
        </w:tc>
      </w:tr>
      <w:tr w:rsidR="00BE3A9F" w:rsidRPr="00BE3A9F" w:rsidTr="00BE3A9F">
        <w:trPr>
          <w:trHeight w:val="79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楷体" w:eastAsia="楷体" w:hAnsi="楷体" w:cs="宋体"/>
                <w:b/>
                <w:bCs/>
                <w:kern w:val="0"/>
                <w:sz w:val="24"/>
                <w:szCs w:val="24"/>
              </w:rPr>
            </w:pPr>
            <w:r w:rsidRPr="00BE3A9F">
              <w:rPr>
                <w:rFonts w:ascii="楷体" w:eastAsia="楷体" w:hAnsi="楷体" w:cs="宋体" w:hint="eastAsia"/>
                <w:b/>
                <w:bCs/>
                <w:kern w:val="0"/>
                <w:sz w:val="24"/>
                <w:szCs w:val="24"/>
              </w:rPr>
              <w:t>序号</w:t>
            </w:r>
          </w:p>
        </w:tc>
        <w:tc>
          <w:tcPr>
            <w:tcW w:w="130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楷体" w:eastAsia="楷体" w:hAnsi="楷体" w:cs="宋体"/>
                <w:b/>
                <w:bCs/>
                <w:kern w:val="0"/>
                <w:sz w:val="24"/>
                <w:szCs w:val="24"/>
              </w:rPr>
            </w:pPr>
            <w:r w:rsidRPr="00BE3A9F">
              <w:rPr>
                <w:rFonts w:ascii="楷体" w:eastAsia="楷体" w:hAnsi="楷体" w:cs="宋体" w:hint="eastAsia"/>
                <w:b/>
                <w:bCs/>
                <w:kern w:val="0"/>
                <w:sz w:val="24"/>
                <w:szCs w:val="24"/>
              </w:rPr>
              <w:t>监管  类别</w:t>
            </w:r>
          </w:p>
        </w:tc>
        <w:tc>
          <w:tcPr>
            <w:tcW w:w="23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楷体" w:eastAsia="楷体" w:hAnsi="楷体" w:cs="宋体"/>
                <w:b/>
                <w:bCs/>
                <w:kern w:val="0"/>
                <w:sz w:val="24"/>
                <w:szCs w:val="24"/>
              </w:rPr>
            </w:pPr>
            <w:r w:rsidRPr="00BE3A9F">
              <w:rPr>
                <w:rFonts w:ascii="楷体" w:eastAsia="楷体" w:hAnsi="楷体" w:cs="宋体" w:hint="eastAsia"/>
                <w:b/>
                <w:bCs/>
                <w:kern w:val="0"/>
                <w:sz w:val="24"/>
                <w:szCs w:val="24"/>
              </w:rPr>
              <w:t>事项名称</w:t>
            </w:r>
          </w:p>
        </w:tc>
        <w:tc>
          <w:tcPr>
            <w:tcW w:w="130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楷体" w:eastAsia="楷体" w:hAnsi="楷体" w:cs="宋体"/>
                <w:b/>
                <w:bCs/>
                <w:kern w:val="0"/>
                <w:sz w:val="24"/>
                <w:szCs w:val="24"/>
              </w:rPr>
            </w:pPr>
            <w:r w:rsidRPr="00BE3A9F">
              <w:rPr>
                <w:rFonts w:ascii="楷体" w:eastAsia="楷体" w:hAnsi="楷体" w:cs="宋体" w:hint="eastAsia"/>
                <w:b/>
                <w:bCs/>
                <w:kern w:val="0"/>
                <w:sz w:val="24"/>
                <w:szCs w:val="24"/>
              </w:rPr>
              <w:t>主办  处室</w:t>
            </w:r>
          </w:p>
        </w:tc>
        <w:tc>
          <w:tcPr>
            <w:tcW w:w="666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楷体" w:eastAsia="楷体" w:hAnsi="楷体" w:cs="宋体"/>
                <w:b/>
                <w:bCs/>
                <w:kern w:val="0"/>
                <w:sz w:val="24"/>
                <w:szCs w:val="24"/>
              </w:rPr>
            </w:pPr>
            <w:r w:rsidRPr="00BE3A9F">
              <w:rPr>
                <w:rFonts w:ascii="楷体" w:eastAsia="楷体" w:hAnsi="楷体" w:cs="宋体" w:hint="eastAsia"/>
                <w:b/>
                <w:bCs/>
                <w:kern w:val="0"/>
                <w:sz w:val="24"/>
                <w:szCs w:val="24"/>
              </w:rPr>
              <w:t>实 施 依 据</w:t>
            </w:r>
          </w:p>
        </w:tc>
        <w:tc>
          <w:tcPr>
            <w:tcW w:w="22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楷体" w:eastAsia="楷体" w:hAnsi="楷体" w:cs="宋体"/>
                <w:b/>
                <w:bCs/>
                <w:kern w:val="0"/>
                <w:sz w:val="24"/>
                <w:szCs w:val="24"/>
              </w:rPr>
            </w:pPr>
            <w:r w:rsidRPr="00BE3A9F">
              <w:rPr>
                <w:rFonts w:ascii="楷体" w:eastAsia="楷体" w:hAnsi="楷体" w:cs="宋体" w:hint="eastAsia"/>
                <w:b/>
                <w:bCs/>
                <w:kern w:val="0"/>
                <w:sz w:val="24"/>
                <w:szCs w:val="24"/>
              </w:rPr>
              <w:t>说 明</w:t>
            </w:r>
          </w:p>
        </w:tc>
      </w:tr>
      <w:tr w:rsidR="00BE3A9F" w:rsidRPr="00BE3A9F" w:rsidTr="00BE3A9F">
        <w:trPr>
          <w:trHeight w:val="23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E3A9F" w:rsidRPr="00BE3A9F" w:rsidRDefault="00BE3A9F" w:rsidP="00BE3A9F">
            <w:pPr>
              <w:widowControl/>
              <w:jc w:val="center"/>
              <w:rPr>
                <w:rFonts w:ascii="仿宋" w:eastAsia="仿宋" w:hAnsi="仿宋" w:cs="宋体"/>
                <w:color w:val="000000"/>
                <w:kern w:val="0"/>
                <w:sz w:val="24"/>
                <w:szCs w:val="24"/>
              </w:rPr>
            </w:pPr>
            <w:bookmarkStart w:id="0" w:name="_GoBack" w:colFirst="1" w:colLast="5"/>
            <w:r w:rsidRPr="00BE3A9F">
              <w:rPr>
                <w:rFonts w:ascii="仿宋" w:eastAsia="仿宋" w:hAnsi="仿宋" w:cs="宋体" w:hint="eastAsia"/>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重大投资管理事项</w:t>
            </w:r>
          </w:p>
        </w:tc>
        <w:tc>
          <w:tcPr>
            <w:tcW w:w="23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非主业类投资项目和特别监管类投资项目审核</w:t>
            </w:r>
          </w:p>
        </w:tc>
        <w:tc>
          <w:tcPr>
            <w:tcW w:w="130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规划发展处</w:t>
            </w:r>
          </w:p>
        </w:tc>
        <w:tc>
          <w:tcPr>
            <w:tcW w:w="666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公司法》第三十七条、六十六条；《企业国有资产监督管理暂行条例》第三十一条；《内蒙古自治区企业国有资产监督管理条例》第三十三条；《内蒙古自治区国资委出资监管企业投资监督管理办法（试行）》（内国</w:t>
            </w:r>
            <w:proofErr w:type="gramStart"/>
            <w:r w:rsidRPr="00BE3A9F">
              <w:rPr>
                <w:rFonts w:ascii="仿宋" w:eastAsia="仿宋" w:hAnsi="仿宋" w:cs="宋体" w:hint="eastAsia"/>
                <w:color w:val="000000"/>
                <w:kern w:val="0"/>
                <w:sz w:val="24"/>
                <w:szCs w:val="24"/>
              </w:rPr>
              <w:t>资规划字</w:t>
            </w:r>
            <w:proofErr w:type="gramEnd"/>
            <w:r w:rsidRPr="00BE3A9F">
              <w:rPr>
                <w:rFonts w:ascii="仿宋" w:eastAsia="仿宋" w:hAnsi="仿宋" w:cs="宋体" w:hint="eastAsia"/>
                <w:color w:val="000000"/>
                <w:kern w:val="0"/>
                <w:sz w:val="24"/>
                <w:szCs w:val="24"/>
              </w:rPr>
              <w:t>〔2017〕117号）</w:t>
            </w:r>
          </w:p>
        </w:tc>
        <w:tc>
          <w:tcPr>
            <w:tcW w:w="22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含主业确认</w:t>
            </w:r>
          </w:p>
        </w:tc>
      </w:tr>
      <w:bookmarkEnd w:id="0"/>
      <w:tr w:rsidR="00BE3A9F" w:rsidRPr="00BE3A9F" w:rsidTr="00BE3A9F">
        <w:trPr>
          <w:trHeight w:val="229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企业改制重组管理事项</w:t>
            </w:r>
          </w:p>
        </w:tc>
        <w:tc>
          <w:tcPr>
            <w:tcW w:w="23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企业合并、分立、解散、申请破产、重组，企业及其重要子企业改制事项审核</w:t>
            </w:r>
          </w:p>
        </w:tc>
        <w:tc>
          <w:tcPr>
            <w:tcW w:w="130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企业改革处</w:t>
            </w:r>
          </w:p>
        </w:tc>
        <w:tc>
          <w:tcPr>
            <w:tcW w:w="666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《公司法》第三十七、六十六条；《企业国有资产法》三十一条、三十四条、四十条；《企业国有资产监督管理暂行条例》第二十条、二十一条</w:t>
            </w:r>
          </w:p>
        </w:tc>
        <w:tc>
          <w:tcPr>
            <w:tcW w:w="22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 xml:space="preserve">　</w:t>
            </w:r>
          </w:p>
        </w:tc>
      </w:tr>
      <w:tr w:rsidR="00BE3A9F" w:rsidRPr="00BE3A9F" w:rsidTr="00B20269">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lastRenderedPageBreak/>
              <w:t>3</w:t>
            </w:r>
          </w:p>
        </w:tc>
        <w:tc>
          <w:tcPr>
            <w:tcW w:w="1300" w:type="dxa"/>
            <w:vMerge w:val="restart"/>
            <w:tcBorders>
              <w:top w:val="single" w:sz="4" w:space="0" w:color="auto"/>
              <w:left w:val="single" w:sz="4" w:space="0" w:color="auto"/>
              <w:right w:val="single" w:sz="4" w:space="0" w:color="auto"/>
            </w:tcBorders>
            <w:shd w:val="clear" w:color="auto" w:fill="auto"/>
            <w:vAlign w:val="center"/>
            <w:hideMark/>
          </w:tcPr>
          <w:p w:rsidR="00BE3A9F" w:rsidRPr="00BE3A9F" w:rsidRDefault="00BE3A9F" w:rsidP="00BE3A9F">
            <w:pPr>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财务监督事项</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企业年度财务决算报告审核</w:t>
            </w:r>
          </w:p>
        </w:tc>
        <w:tc>
          <w:tcPr>
            <w:tcW w:w="1300" w:type="dxa"/>
            <w:vMerge w:val="restart"/>
            <w:tcBorders>
              <w:top w:val="single" w:sz="4" w:space="0" w:color="auto"/>
              <w:left w:val="single" w:sz="4" w:space="0" w:color="auto"/>
              <w:right w:val="single" w:sz="4" w:space="0" w:color="auto"/>
            </w:tcBorders>
            <w:shd w:val="clear" w:color="auto" w:fill="auto"/>
            <w:vAlign w:val="center"/>
            <w:hideMark/>
          </w:tcPr>
          <w:p w:rsidR="00BE3A9F" w:rsidRPr="00BE3A9F" w:rsidRDefault="00BE3A9F" w:rsidP="00BE3A9F">
            <w:pPr>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财务监管处</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《公司法》第三十七条；《企业国有资产监督管理暂行条例》（2011年修订，下同）第三十四条；《中央企业财务决算报告管理办法》第五条、四十一条</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 xml:space="preserve">　</w:t>
            </w:r>
          </w:p>
        </w:tc>
      </w:tr>
      <w:tr w:rsidR="00BE3A9F" w:rsidRPr="00BE3A9F" w:rsidTr="00B20269">
        <w:trPr>
          <w:trHeight w:val="17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4</w:t>
            </w:r>
          </w:p>
        </w:tc>
        <w:tc>
          <w:tcPr>
            <w:tcW w:w="1300" w:type="dxa"/>
            <w:vMerge/>
            <w:tcBorders>
              <w:left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企业集团层面清产核资事项审核</w:t>
            </w:r>
          </w:p>
        </w:tc>
        <w:tc>
          <w:tcPr>
            <w:tcW w:w="1300" w:type="dxa"/>
            <w:vMerge/>
            <w:tcBorders>
              <w:left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p>
        </w:tc>
        <w:tc>
          <w:tcPr>
            <w:tcW w:w="666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《企业国有资产监督管理暂行条例》第二十九条；《内蒙古自治区企业国有资产监督管理条例》第十六条；《国有企业清产核资办法》第八条、第十五条、十九条、二十条</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 xml:space="preserve">　</w:t>
            </w:r>
          </w:p>
        </w:tc>
      </w:tr>
      <w:tr w:rsidR="00BE3A9F" w:rsidRPr="00BE3A9F" w:rsidTr="00B20269">
        <w:trPr>
          <w:trHeight w:val="193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5</w:t>
            </w:r>
          </w:p>
        </w:tc>
        <w:tc>
          <w:tcPr>
            <w:tcW w:w="1300" w:type="dxa"/>
            <w:vMerge/>
            <w:tcBorders>
              <w:left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企业大额捐赠、对外大额担保和借款审核</w:t>
            </w:r>
          </w:p>
        </w:tc>
        <w:tc>
          <w:tcPr>
            <w:tcW w:w="1300" w:type="dxa"/>
            <w:vMerge/>
            <w:tcBorders>
              <w:left w:val="single" w:sz="4" w:space="0" w:color="auto"/>
              <w:bottom w:val="single" w:sz="4" w:space="0" w:color="000000"/>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p>
        </w:tc>
        <w:tc>
          <w:tcPr>
            <w:tcW w:w="666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公司法》第十六、一百四十八条；《国有企业领导人员廉洁从业若干规定》（中办发〔2009〕26号）第四条；《中共中央办公厅、国务院办公厅关于进一步推进国有企业贯彻落实“三重一大”决策制度的意见》（中办发〔2010〕17号）</w:t>
            </w:r>
          </w:p>
        </w:tc>
        <w:tc>
          <w:tcPr>
            <w:tcW w:w="22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 xml:space="preserve">　</w:t>
            </w:r>
          </w:p>
        </w:tc>
      </w:tr>
      <w:tr w:rsidR="00BE3A9F" w:rsidRPr="00BE3A9F" w:rsidTr="00BE3A9F">
        <w:trPr>
          <w:trHeight w:val="19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6</w:t>
            </w:r>
          </w:p>
        </w:tc>
        <w:tc>
          <w:tcPr>
            <w:tcW w:w="1300" w:type="dxa"/>
            <w:vMerge/>
            <w:tcBorders>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p>
        </w:tc>
        <w:tc>
          <w:tcPr>
            <w:tcW w:w="23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对企业年度财务决算报表审计和工资专项审计业务涉及的中介机构选聘</w:t>
            </w:r>
          </w:p>
        </w:tc>
        <w:tc>
          <w:tcPr>
            <w:tcW w:w="130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政策法规处</w:t>
            </w:r>
          </w:p>
        </w:tc>
        <w:tc>
          <w:tcPr>
            <w:tcW w:w="666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《公司法》第一百六十九条；《企业国有资产法》第六十七条</w:t>
            </w:r>
          </w:p>
        </w:tc>
        <w:tc>
          <w:tcPr>
            <w:tcW w:w="22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 xml:space="preserve">　</w:t>
            </w:r>
          </w:p>
        </w:tc>
      </w:tr>
      <w:tr w:rsidR="00BE3A9F" w:rsidRPr="00BE3A9F" w:rsidTr="00BE3A9F">
        <w:trPr>
          <w:trHeight w:val="197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lastRenderedPageBreak/>
              <w:t>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国有资本收益管理事项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企业国有资本经营预算收支计划审核</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资本运营与收益管理处</w:t>
            </w:r>
          </w:p>
        </w:tc>
        <w:tc>
          <w:tcPr>
            <w:tcW w:w="666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内蒙古自治区人民政府关于试行国有资本经营预算的实施意见》（内政发〔2008〕96号）第十五条；《内蒙古自治区国有资产监督管理委员会关于印发&lt;出资监管企业国有资本经营预算建议草案编报办法&gt;的通知》（内国</w:t>
            </w:r>
            <w:proofErr w:type="gramStart"/>
            <w:r w:rsidRPr="00BE3A9F">
              <w:rPr>
                <w:rFonts w:ascii="仿宋" w:eastAsia="仿宋" w:hAnsi="仿宋" w:cs="宋体" w:hint="eastAsia"/>
                <w:color w:val="000000"/>
                <w:kern w:val="0"/>
                <w:sz w:val="24"/>
                <w:szCs w:val="24"/>
              </w:rPr>
              <w:t>资预算字</w:t>
            </w:r>
            <w:proofErr w:type="gramEnd"/>
            <w:r w:rsidRPr="00BE3A9F">
              <w:rPr>
                <w:rFonts w:ascii="仿宋" w:eastAsia="仿宋" w:hAnsi="仿宋" w:cs="宋体" w:hint="eastAsia"/>
                <w:color w:val="000000"/>
                <w:kern w:val="0"/>
                <w:sz w:val="24"/>
                <w:szCs w:val="24"/>
              </w:rPr>
              <w:t>〔2015〕303号）第七条、第八条</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 xml:space="preserve">　</w:t>
            </w:r>
          </w:p>
        </w:tc>
      </w:tr>
      <w:tr w:rsidR="00BE3A9F" w:rsidRPr="00BE3A9F" w:rsidTr="00BE3A9F">
        <w:trPr>
          <w:trHeight w:val="14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8</w:t>
            </w:r>
          </w:p>
        </w:tc>
        <w:tc>
          <w:tcPr>
            <w:tcW w:w="130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企业章程管理事项</w:t>
            </w:r>
          </w:p>
        </w:tc>
        <w:tc>
          <w:tcPr>
            <w:tcW w:w="23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企业章程的制定和修订审核</w:t>
            </w:r>
          </w:p>
        </w:tc>
        <w:tc>
          <w:tcPr>
            <w:tcW w:w="130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政策法规处</w:t>
            </w:r>
          </w:p>
        </w:tc>
        <w:tc>
          <w:tcPr>
            <w:tcW w:w="666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《公司法》第三十七条；《企业国有资产法》第十二条；《企业国有资产监督管理暂行条例》第二十条；《内蒙古自治区企业国有资产监督管理条例》第十二条</w:t>
            </w:r>
          </w:p>
        </w:tc>
        <w:tc>
          <w:tcPr>
            <w:tcW w:w="22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 xml:space="preserve">　</w:t>
            </w:r>
          </w:p>
        </w:tc>
      </w:tr>
      <w:tr w:rsidR="00BE3A9F" w:rsidRPr="00BE3A9F" w:rsidTr="00BE3A9F">
        <w:trPr>
          <w:trHeight w:val="1827"/>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9</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企业负责人经营业绩考核与薪酬管理</w:t>
            </w:r>
          </w:p>
        </w:tc>
        <w:tc>
          <w:tcPr>
            <w:tcW w:w="23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企业年度、任期经营业绩考核目标及完成情况审核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考核分配处</w:t>
            </w:r>
          </w:p>
        </w:tc>
        <w:tc>
          <w:tcPr>
            <w:tcW w:w="666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《企业国有资产法》第二十七、二十九条；《内蒙古自治区企业国有资产监督管理条例》第十五条；《自治区直属企业负责人经营业绩考核办法》（内国</w:t>
            </w:r>
            <w:proofErr w:type="gramStart"/>
            <w:r w:rsidRPr="00BE3A9F">
              <w:rPr>
                <w:rFonts w:ascii="仿宋" w:eastAsia="仿宋" w:hAnsi="仿宋" w:cs="宋体" w:hint="eastAsia"/>
                <w:color w:val="000000"/>
                <w:kern w:val="0"/>
                <w:sz w:val="24"/>
                <w:szCs w:val="24"/>
              </w:rPr>
              <w:t>资考核字</w:t>
            </w:r>
            <w:proofErr w:type="gramEnd"/>
            <w:r w:rsidRPr="00BE3A9F">
              <w:rPr>
                <w:rFonts w:ascii="仿宋" w:eastAsia="仿宋" w:hAnsi="仿宋" w:cs="宋体" w:hint="eastAsia"/>
                <w:color w:val="000000"/>
                <w:kern w:val="0"/>
                <w:sz w:val="24"/>
                <w:szCs w:val="24"/>
              </w:rPr>
              <w:t>〔2015〕145号）第十三条、第二十二条</w:t>
            </w:r>
          </w:p>
        </w:tc>
        <w:tc>
          <w:tcPr>
            <w:tcW w:w="22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 xml:space="preserve"> </w:t>
            </w:r>
          </w:p>
        </w:tc>
      </w:tr>
      <w:tr w:rsidR="00BE3A9F" w:rsidRPr="00BE3A9F" w:rsidTr="00BE3A9F">
        <w:trPr>
          <w:trHeight w:val="35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lastRenderedPageBreak/>
              <w:t>10</w:t>
            </w: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企业负责人薪酬审核；年度工资总额预算审核</w:t>
            </w: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p>
        </w:tc>
        <w:tc>
          <w:tcPr>
            <w:tcW w:w="666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国有资产法》第二十七条、二十九条；《内蒙古自治区企业国有资产监督管理条例》第十四条；《企业国有资产监督管理暂行条例》第十九条；《国务院关于改革国有企业工资决定机制的意见》（国发〔2018〕16号）；《内蒙古自治区直属企业负责人薪酬管理办法》（内国资分配字﹝2016﹞41号）；《自治区政府关于改革国有企业工资决定机制的实施意见》（内政发〔2018〕51号）</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年度工资总额预算审核范围：特定功能类企业</w:t>
            </w:r>
          </w:p>
        </w:tc>
      </w:tr>
      <w:tr w:rsidR="00BE3A9F" w:rsidRPr="00BE3A9F" w:rsidTr="00BE3A9F">
        <w:trPr>
          <w:trHeight w:val="418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11</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国有产权、股权管理事项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国有产权变动方案和确权行为审批</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产权管理处</w:t>
            </w:r>
          </w:p>
        </w:tc>
        <w:tc>
          <w:tcPr>
            <w:tcW w:w="666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国有资产交易监督管理办法》（国务院国资委、财政部令第32号）；《内蒙古自治区企业国有资产监督管理条例》第十六条；《内蒙古自治区企业国有资产转让管理办法》（内蒙古自治区人民政府令第205号）；《企业国有产权无偿划转管理暂行办法》（</w:t>
            </w:r>
            <w:proofErr w:type="gramStart"/>
            <w:r w:rsidRPr="00BE3A9F">
              <w:rPr>
                <w:rFonts w:ascii="仿宋" w:eastAsia="仿宋" w:hAnsi="仿宋" w:cs="宋体" w:hint="eastAsia"/>
                <w:color w:val="000000"/>
                <w:kern w:val="0"/>
                <w:sz w:val="24"/>
                <w:szCs w:val="24"/>
              </w:rPr>
              <w:t>国资发产权</w:t>
            </w:r>
            <w:proofErr w:type="gramEnd"/>
            <w:r w:rsidRPr="00BE3A9F">
              <w:rPr>
                <w:rFonts w:ascii="仿宋" w:eastAsia="仿宋" w:hAnsi="仿宋" w:cs="宋体" w:hint="eastAsia"/>
                <w:color w:val="000000"/>
                <w:kern w:val="0"/>
                <w:sz w:val="24"/>
                <w:szCs w:val="24"/>
              </w:rPr>
              <w:t>〔2005〕239号）第十二至十四条；《关于中央企业国有产权置换有关事项的通知》（</w:t>
            </w:r>
            <w:proofErr w:type="gramStart"/>
            <w:r w:rsidRPr="00BE3A9F">
              <w:rPr>
                <w:rFonts w:ascii="仿宋" w:eastAsia="仿宋" w:hAnsi="仿宋" w:cs="宋体" w:hint="eastAsia"/>
                <w:color w:val="000000"/>
                <w:kern w:val="0"/>
                <w:sz w:val="24"/>
                <w:szCs w:val="24"/>
              </w:rPr>
              <w:t>国资发产权</w:t>
            </w:r>
            <w:proofErr w:type="gramEnd"/>
            <w:r w:rsidRPr="00BE3A9F">
              <w:rPr>
                <w:rFonts w:ascii="仿宋" w:eastAsia="仿宋" w:hAnsi="仿宋" w:cs="宋体" w:hint="eastAsia"/>
                <w:color w:val="000000"/>
                <w:kern w:val="0"/>
                <w:sz w:val="24"/>
                <w:szCs w:val="24"/>
              </w:rPr>
              <w:t>﹝2011﹞121号）；《自治区政府办公厅关于建立自治区企业国有产权确权联席会议有关事宜的函》</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含企业间资产无偿划转、企业资产置换、自治区直属企业国有产权协议转让、自治区本级国家出资企业产权转让、重要子企业股权转让导致国有</w:t>
            </w:r>
            <w:proofErr w:type="gramStart"/>
            <w:r w:rsidRPr="00BE3A9F">
              <w:rPr>
                <w:rFonts w:ascii="仿宋" w:eastAsia="仿宋" w:hAnsi="仿宋" w:cs="宋体" w:hint="eastAsia"/>
                <w:color w:val="000000"/>
                <w:kern w:val="0"/>
                <w:sz w:val="24"/>
                <w:szCs w:val="24"/>
              </w:rPr>
              <w:t>股失去</w:t>
            </w:r>
            <w:proofErr w:type="gramEnd"/>
            <w:r w:rsidRPr="00BE3A9F">
              <w:rPr>
                <w:rFonts w:ascii="仿宋" w:eastAsia="仿宋" w:hAnsi="仿宋" w:cs="宋体" w:hint="eastAsia"/>
                <w:color w:val="000000"/>
                <w:kern w:val="0"/>
                <w:sz w:val="24"/>
                <w:szCs w:val="24"/>
              </w:rPr>
              <w:t>控股地位等</w:t>
            </w:r>
          </w:p>
        </w:tc>
      </w:tr>
      <w:tr w:rsidR="00BE3A9F" w:rsidRPr="00BE3A9F" w:rsidTr="00BE3A9F">
        <w:trPr>
          <w:trHeight w:val="150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lastRenderedPageBreak/>
              <w:t>12</w:t>
            </w: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划转部分国有资本充实社保基金持有方案审批</w:t>
            </w: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p>
        </w:tc>
        <w:tc>
          <w:tcPr>
            <w:tcW w:w="666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《国务院关于印发划转部分国有资本充实社保基金实施方案的通知》（国发〔2017〕49号）</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 xml:space="preserve">　</w:t>
            </w:r>
          </w:p>
        </w:tc>
      </w:tr>
      <w:tr w:rsidR="00BE3A9F" w:rsidRPr="00BE3A9F" w:rsidTr="00BE3A9F">
        <w:trPr>
          <w:trHeight w:val="627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13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国有产权、股权管理事项</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区属企业及其重要子企业上市方案审批；上市公司、非上市公司国有股权管理有关事项审批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产权管理处</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《证券法》第三、四章；《上市公司国有股权监督管理办法》（国务院国资委、财政部、中国证监会令第36号）；《关于股份有限公司国有股权管理工作有关问题的通知》（</w:t>
            </w:r>
            <w:proofErr w:type="gramStart"/>
            <w:r w:rsidRPr="00BE3A9F">
              <w:rPr>
                <w:rFonts w:ascii="仿宋" w:eastAsia="仿宋" w:hAnsi="仿宋" w:cs="宋体" w:hint="eastAsia"/>
                <w:color w:val="000000"/>
                <w:kern w:val="0"/>
                <w:sz w:val="24"/>
                <w:szCs w:val="24"/>
              </w:rPr>
              <w:t>财管字</w:t>
            </w:r>
            <w:proofErr w:type="gramEnd"/>
            <w:r w:rsidRPr="00BE3A9F">
              <w:rPr>
                <w:rFonts w:ascii="仿宋" w:eastAsia="仿宋" w:hAnsi="仿宋" w:cs="宋体" w:hint="eastAsia"/>
                <w:color w:val="000000"/>
                <w:kern w:val="0"/>
                <w:sz w:val="24"/>
                <w:szCs w:val="24"/>
              </w:rPr>
              <w:t>〔2000〕200号）第一条；《企业国有资产法》第四十条；《企业国有资产监督管理暂行条例》第二十条、第二十四条；《上市公司国有股东标识管理暂行规定》（</w:t>
            </w:r>
            <w:proofErr w:type="gramStart"/>
            <w:r w:rsidRPr="00BE3A9F">
              <w:rPr>
                <w:rFonts w:ascii="仿宋" w:eastAsia="仿宋" w:hAnsi="仿宋" w:cs="宋体" w:hint="eastAsia"/>
                <w:color w:val="000000"/>
                <w:kern w:val="0"/>
                <w:sz w:val="24"/>
                <w:szCs w:val="24"/>
              </w:rPr>
              <w:t>国资发产权</w:t>
            </w:r>
            <w:proofErr w:type="gramEnd"/>
            <w:r w:rsidRPr="00BE3A9F">
              <w:rPr>
                <w:rFonts w:ascii="仿宋" w:eastAsia="仿宋" w:hAnsi="仿宋" w:cs="宋体" w:hint="eastAsia"/>
                <w:color w:val="000000"/>
                <w:kern w:val="0"/>
                <w:sz w:val="24"/>
                <w:szCs w:val="24"/>
              </w:rPr>
              <w:t>〔2007〕108号）第三条；</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含国有股东转让控股上市公司股权事项；国有股东受让上市公司股份管理事项（超过限额的）；企业国有股东与上市公司重大资产重组事项；国有股东发行可交换债和发行证券事项；国有控股上市公司吸收合并；全区股份制改造国有股权设置方案</w:t>
            </w:r>
          </w:p>
        </w:tc>
      </w:tr>
      <w:tr w:rsidR="00BE3A9F" w:rsidRPr="00BE3A9F" w:rsidTr="00BE3A9F">
        <w:trPr>
          <w:trHeight w:val="187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lastRenderedPageBreak/>
              <w:t>14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国有产权、股权管理事项</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资产评估核准和备案</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产权管理处</w:t>
            </w:r>
          </w:p>
        </w:tc>
        <w:tc>
          <w:tcPr>
            <w:tcW w:w="666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《企业国有资产法》第五十五条；《企业国有资产监督管理暂行条例》第二十九条；《国有资产评估管理办法》（国务院令第91号）；《企业国有资产评估管理暂行办法》（国务院国资委令第12号）第十四条</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依据经济行为的批准单位确定“核准”和“备案”</w:t>
            </w:r>
          </w:p>
        </w:tc>
      </w:tr>
      <w:tr w:rsidR="00BE3A9F" w:rsidRPr="00BE3A9F" w:rsidTr="00BE3A9F">
        <w:trPr>
          <w:trHeight w:val="154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15</w:t>
            </w:r>
          </w:p>
        </w:tc>
        <w:tc>
          <w:tcPr>
            <w:tcW w:w="130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发行债券事项</w:t>
            </w:r>
          </w:p>
        </w:tc>
        <w:tc>
          <w:tcPr>
            <w:tcW w:w="23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债券发行审批</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产权管理处</w:t>
            </w:r>
          </w:p>
        </w:tc>
        <w:tc>
          <w:tcPr>
            <w:tcW w:w="666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《公司法》第三十七条、六十六条；《企业国有资产法》第三十一条；《企业国有资产监督管理暂行条例》第二十一条；《中央企业债券发行管理暂行办法》(</w:t>
            </w:r>
            <w:proofErr w:type="gramStart"/>
            <w:r w:rsidRPr="00BE3A9F">
              <w:rPr>
                <w:rFonts w:ascii="仿宋" w:eastAsia="仿宋" w:hAnsi="仿宋" w:cs="宋体" w:hint="eastAsia"/>
                <w:color w:val="000000"/>
                <w:kern w:val="0"/>
                <w:sz w:val="24"/>
                <w:szCs w:val="24"/>
              </w:rPr>
              <w:t>国资发产权</w:t>
            </w:r>
            <w:proofErr w:type="gramEnd"/>
            <w:r w:rsidRPr="00BE3A9F">
              <w:rPr>
                <w:rFonts w:ascii="仿宋" w:eastAsia="仿宋" w:hAnsi="仿宋" w:cs="宋体" w:hint="eastAsia"/>
                <w:color w:val="000000"/>
                <w:kern w:val="0"/>
                <w:sz w:val="24"/>
                <w:szCs w:val="24"/>
              </w:rPr>
              <w:t>〔2008〕70号）</w:t>
            </w:r>
          </w:p>
        </w:tc>
        <w:tc>
          <w:tcPr>
            <w:tcW w:w="22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 xml:space="preserve">　</w:t>
            </w:r>
          </w:p>
        </w:tc>
      </w:tr>
      <w:tr w:rsidR="00BE3A9F" w:rsidRPr="00BE3A9F" w:rsidTr="00BE3A9F">
        <w:trPr>
          <w:trHeight w:val="19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center"/>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16</w:t>
            </w:r>
          </w:p>
        </w:tc>
        <w:tc>
          <w:tcPr>
            <w:tcW w:w="130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企业资本金变动管理</w:t>
            </w:r>
          </w:p>
        </w:tc>
        <w:tc>
          <w:tcPr>
            <w:tcW w:w="23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国有资本金变动事项审批</w:t>
            </w: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p>
        </w:tc>
        <w:tc>
          <w:tcPr>
            <w:tcW w:w="666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r w:rsidRPr="00BE3A9F">
              <w:rPr>
                <w:rFonts w:ascii="仿宋" w:eastAsia="仿宋" w:hAnsi="仿宋" w:cs="宋体" w:hint="eastAsia"/>
                <w:color w:val="000000"/>
                <w:kern w:val="0"/>
                <w:sz w:val="24"/>
                <w:szCs w:val="24"/>
              </w:rPr>
              <w:t>《公司法》第三十七条、六十六条；《企业国有资产监督管理暂行条例》第二十一条；《企业国有资产交易监督管理办法》（国务院国资委、财政部令第32号）</w:t>
            </w:r>
          </w:p>
        </w:tc>
        <w:tc>
          <w:tcPr>
            <w:tcW w:w="2280" w:type="dxa"/>
            <w:tcBorders>
              <w:top w:val="nil"/>
              <w:left w:val="nil"/>
              <w:bottom w:val="single" w:sz="4" w:space="0" w:color="auto"/>
              <w:right w:val="single" w:sz="4" w:space="0" w:color="auto"/>
            </w:tcBorders>
            <w:shd w:val="clear" w:color="auto" w:fill="auto"/>
            <w:vAlign w:val="center"/>
            <w:hideMark/>
          </w:tcPr>
          <w:p w:rsidR="00BE3A9F" w:rsidRPr="00BE3A9F" w:rsidRDefault="00BE3A9F" w:rsidP="00BE3A9F">
            <w:pPr>
              <w:widowControl/>
              <w:jc w:val="left"/>
              <w:rPr>
                <w:rFonts w:ascii="仿宋" w:eastAsia="仿宋" w:hAnsi="仿宋" w:cs="宋体"/>
                <w:color w:val="000000"/>
                <w:kern w:val="0"/>
                <w:sz w:val="24"/>
                <w:szCs w:val="24"/>
              </w:rPr>
            </w:pPr>
            <w:proofErr w:type="gramStart"/>
            <w:r w:rsidRPr="00BE3A9F">
              <w:rPr>
                <w:rFonts w:ascii="仿宋" w:eastAsia="仿宋" w:hAnsi="仿宋" w:cs="宋体" w:hint="eastAsia"/>
                <w:color w:val="000000"/>
                <w:kern w:val="0"/>
                <w:sz w:val="24"/>
                <w:szCs w:val="24"/>
              </w:rPr>
              <w:t>含重要</w:t>
            </w:r>
            <w:proofErr w:type="gramEnd"/>
            <w:r w:rsidRPr="00BE3A9F">
              <w:rPr>
                <w:rFonts w:ascii="仿宋" w:eastAsia="仿宋" w:hAnsi="仿宋" w:cs="宋体" w:hint="eastAsia"/>
                <w:color w:val="000000"/>
                <w:kern w:val="0"/>
                <w:sz w:val="24"/>
                <w:szCs w:val="24"/>
              </w:rPr>
              <w:t>子企业增资行为导致国有</w:t>
            </w:r>
            <w:proofErr w:type="gramStart"/>
            <w:r w:rsidRPr="00BE3A9F">
              <w:rPr>
                <w:rFonts w:ascii="仿宋" w:eastAsia="仿宋" w:hAnsi="仿宋" w:cs="宋体" w:hint="eastAsia"/>
                <w:color w:val="000000"/>
                <w:kern w:val="0"/>
                <w:sz w:val="24"/>
                <w:szCs w:val="24"/>
              </w:rPr>
              <w:t>股失去</w:t>
            </w:r>
            <w:proofErr w:type="gramEnd"/>
            <w:r w:rsidRPr="00BE3A9F">
              <w:rPr>
                <w:rFonts w:ascii="仿宋" w:eastAsia="仿宋" w:hAnsi="仿宋" w:cs="宋体" w:hint="eastAsia"/>
                <w:color w:val="000000"/>
                <w:kern w:val="0"/>
                <w:sz w:val="24"/>
                <w:szCs w:val="24"/>
              </w:rPr>
              <w:t>控股地位事项</w:t>
            </w:r>
          </w:p>
        </w:tc>
      </w:tr>
      <w:tr w:rsidR="00BE3A9F" w:rsidRPr="00BE3A9F" w:rsidTr="00BE3A9F">
        <w:trPr>
          <w:trHeight w:val="720"/>
        </w:trPr>
        <w:tc>
          <w:tcPr>
            <w:tcW w:w="14660" w:type="dxa"/>
            <w:gridSpan w:val="6"/>
            <w:tcBorders>
              <w:top w:val="nil"/>
              <w:left w:val="nil"/>
              <w:bottom w:val="nil"/>
              <w:right w:val="nil"/>
            </w:tcBorders>
            <w:shd w:val="clear" w:color="auto" w:fill="auto"/>
            <w:noWrap/>
            <w:vAlign w:val="center"/>
            <w:hideMark/>
          </w:tcPr>
          <w:p w:rsidR="00BE3A9F" w:rsidRPr="00BE3A9F" w:rsidRDefault="00BE3A9F" w:rsidP="00BE3A9F">
            <w:pPr>
              <w:widowControl/>
              <w:jc w:val="left"/>
              <w:rPr>
                <w:rFonts w:ascii="楷体" w:eastAsia="楷体" w:hAnsi="楷体" w:cs="宋体"/>
                <w:kern w:val="0"/>
                <w:sz w:val="24"/>
                <w:szCs w:val="24"/>
              </w:rPr>
            </w:pPr>
            <w:r w:rsidRPr="00BE3A9F">
              <w:rPr>
                <w:rFonts w:ascii="楷体" w:eastAsia="楷体" w:hAnsi="楷体" w:cs="宋体" w:hint="eastAsia"/>
                <w:kern w:val="0"/>
                <w:sz w:val="24"/>
                <w:szCs w:val="24"/>
              </w:rPr>
              <w:t>备注：事项名称中冠以“企业”字样的，均指出资监管的一级企业。</w:t>
            </w:r>
          </w:p>
        </w:tc>
      </w:tr>
    </w:tbl>
    <w:p w:rsidR="0033078C" w:rsidRPr="00BE3A9F" w:rsidRDefault="0033078C"/>
    <w:sectPr w:rsidR="0033078C" w:rsidRPr="00BE3A9F" w:rsidSect="00BE3A9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9F"/>
    <w:rsid w:val="0033078C"/>
    <w:rsid w:val="00BE3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何迎春</dc:creator>
  <cp:lastModifiedBy>何迎春</cp:lastModifiedBy>
  <cp:revision>1</cp:revision>
  <dcterms:created xsi:type="dcterms:W3CDTF">2019-03-21T02:11:00Z</dcterms:created>
  <dcterms:modified xsi:type="dcterms:W3CDTF">2019-03-21T02:15:00Z</dcterms:modified>
</cp:coreProperties>
</file>